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263FB4">
        <w:rPr>
          <w:rFonts w:ascii="Calibri" w:hAnsi="Calibri" w:cs="Calibri"/>
          <w:b/>
          <w:sz w:val="22"/>
          <w:szCs w:val="22"/>
        </w:rPr>
        <w:t>308043</w:t>
      </w:r>
      <w:r w:rsidR="004250E6">
        <w:rPr>
          <w:rFonts w:ascii="Calibri" w:hAnsi="Calibri" w:cs="Calibri"/>
          <w:b/>
          <w:sz w:val="22"/>
          <w:szCs w:val="22"/>
        </w:rPr>
        <w:t>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263FB4">
        <w:rPr>
          <w:rFonts w:ascii="Calibri" w:hAnsi="Calibri" w:cs="Calibri"/>
          <w:b/>
          <w:sz w:val="22"/>
          <w:szCs w:val="22"/>
        </w:rPr>
        <w:t xml:space="preserve">Comercial </w:t>
      </w:r>
      <w:proofErr w:type="spellStart"/>
      <w:r w:rsidR="00263FB4">
        <w:rPr>
          <w:rFonts w:ascii="Calibri" w:hAnsi="Calibri" w:cs="Calibri"/>
          <w:b/>
          <w:sz w:val="22"/>
          <w:szCs w:val="22"/>
        </w:rPr>
        <w:t>Pontalac</w:t>
      </w:r>
      <w:proofErr w:type="spellEnd"/>
      <w:r w:rsidR="00263FB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63FB4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263FB4">
        <w:rPr>
          <w:rFonts w:ascii="Calibri" w:hAnsi="Calibri" w:cs="Calibri"/>
          <w:sz w:val="22"/>
          <w:szCs w:val="22"/>
        </w:rPr>
        <w:t xml:space="preserve"> 134856, de 22/05/2012</w:t>
      </w:r>
    </w:p>
    <w:p w:rsidR="002E05E2" w:rsidRPr="00D270C1" w:rsidRDefault="00A304F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r w:rsidR="00263FB4">
        <w:rPr>
          <w:rFonts w:ascii="Calibri" w:hAnsi="Calibri" w:cs="Calibri"/>
          <w:sz w:val="22"/>
          <w:szCs w:val="22"/>
        </w:rPr>
        <w:t xml:space="preserve">Adriano Boro </w:t>
      </w:r>
      <w:proofErr w:type="spellStart"/>
      <w:r w:rsidR="00263FB4">
        <w:rPr>
          <w:rFonts w:ascii="Calibri" w:hAnsi="Calibri" w:cs="Calibri"/>
          <w:sz w:val="22"/>
          <w:szCs w:val="22"/>
        </w:rPr>
        <w:t>Makuda</w:t>
      </w:r>
      <w:proofErr w:type="spellEnd"/>
      <w:r w:rsidR="00263FB4">
        <w:rPr>
          <w:rFonts w:ascii="Calibri" w:hAnsi="Calibri" w:cs="Calibri"/>
          <w:sz w:val="22"/>
          <w:szCs w:val="22"/>
        </w:rPr>
        <w:t xml:space="preserve"> -- GAIA</w:t>
      </w:r>
    </w:p>
    <w:p w:rsidR="003E3E64" w:rsidRPr="00A27F09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F43E01">
        <w:rPr>
          <w:rFonts w:ascii="Calibri" w:hAnsi="Calibri" w:cs="Calibri"/>
          <w:sz w:val="22"/>
          <w:szCs w:val="22"/>
        </w:rPr>
        <w:t xml:space="preserve"> - </w:t>
      </w:r>
      <w:r w:rsidR="003E3E64">
        <w:rPr>
          <w:rFonts w:ascii="Calibri" w:hAnsi="Calibri" w:cs="Calibri"/>
          <w:sz w:val="22"/>
          <w:szCs w:val="22"/>
        </w:rPr>
        <w:t xml:space="preserve">  </w:t>
      </w:r>
      <w:r w:rsidR="00263FB4">
        <w:rPr>
          <w:rFonts w:ascii="Calibri" w:hAnsi="Calibri" w:cs="Calibri"/>
          <w:sz w:val="22"/>
          <w:szCs w:val="22"/>
        </w:rPr>
        <w:t>Antônio Roberto Gomes de Oliveira – OAB/MT 10.168</w:t>
      </w:r>
      <w:r w:rsidR="003E3E64">
        <w:rPr>
          <w:rFonts w:ascii="Calibri" w:hAnsi="Calibri" w:cs="Calibri"/>
          <w:sz w:val="22"/>
          <w:szCs w:val="22"/>
        </w:rPr>
        <w:t xml:space="preserve">                 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F43E01">
        <w:rPr>
          <w:rFonts w:ascii="Calibri" w:hAnsi="Calibri" w:cs="Calibri"/>
          <w:b/>
          <w:sz w:val="22"/>
          <w:szCs w:val="22"/>
        </w:rPr>
        <w:t>64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3E3E64" w:rsidRDefault="003E3E64" w:rsidP="003E3E64">
      <w:pPr>
        <w:jc w:val="both"/>
        <w:rPr>
          <w:rFonts w:ascii="Calibri" w:hAnsi="Calibri" w:cs="Calibri"/>
          <w:sz w:val="22"/>
          <w:szCs w:val="22"/>
        </w:rPr>
      </w:pPr>
    </w:p>
    <w:p w:rsidR="00A304FB" w:rsidRPr="00263FB4" w:rsidRDefault="00F87AFC" w:rsidP="00D50A23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F331F6">
        <w:rPr>
          <w:rFonts w:ascii="Calibri" w:hAnsi="Calibri" w:cs="Calibri"/>
          <w:sz w:val="22"/>
          <w:szCs w:val="22"/>
        </w:rPr>
        <w:t xml:space="preserve">. </w:t>
      </w:r>
      <w:r w:rsidR="00263FB4">
        <w:rPr>
          <w:rFonts w:ascii="Calibri" w:hAnsi="Calibri" w:cs="Calibri"/>
          <w:sz w:val="22"/>
          <w:szCs w:val="22"/>
        </w:rPr>
        <w:t xml:space="preserve">134856, de 22/05/2012. Termo de Embargo/Interdição n. 108243, de 22/05/2012. Por fazer funcionar laticínio sem autorização do órgão ambiental competente. </w:t>
      </w:r>
      <w:r w:rsidR="00263FB4" w:rsidRPr="00263FB4">
        <w:rPr>
          <w:rFonts w:ascii="Calibri" w:hAnsi="Calibri" w:cs="Calibri"/>
          <w:sz w:val="22"/>
          <w:szCs w:val="22"/>
        </w:rPr>
        <w:t>Decisão Administrativa n. 1497/SPA/SEMA/2017, pela homologação do Auto de Infração n 134856, arbitrando multa de R$ 20.000,00 (vinte mil reais). Com a palavra o patrono do recorrente requer seja decretada de ofício a prescrição da pretensão punitiva face ao esgotamento de prazo prescricional de 5 (cinco) anos que se esvaiu em 21/05/17 sem que o presente processo administrativo fosse encerrado, e o que somente ocorre, quando da notificação da ora oficiante em 20/11/2017.</w:t>
      </w:r>
      <w:r w:rsidR="001A5B62">
        <w:rPr>
          <w:rFonts w:ascii="Calibri" w:hAnsi="Calibri" w:cs="Calibri"/>
          <w:sz w:val="22"/>
          <w:szCs w:val="22"/>
        </w:rPr>
        <w:t xml:space="preserve"> Recurso provido. </w:t>
      </w:r>
    </w:p>
    <w:p w:rsidR="00A304FB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E610D8" w:rsidRDefault="00B70EB0" w:rsidP="00151A1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151A1E">
        <w:rPr>
          <w:rFonts w:ascii="Calibri" w:hAnsi="Calibri" w:cs="Calibri"/>
          <w:sz w:val="22"/>
          <w:szCs w:val="22"/>
        </w:rPr>
        <w:t>oria</w:t>
      </w:r>
      <w:r w:rsidR="009A39DA" w:rsidRPr="00B74A1C">
        <w:rPr>
          <w:rFonts w:ascii="Calibri" w:hAnsi="Calibri" w:cs="Calibri"/>
          <w:sz w:val="22"/>
          <w:szCs w:val="22"/>
        </w:rPr>
        <w:t xml:space="preserve">, </w:t>
      </w:r>
      <w:r w:rsidR="00151A1E" w:rsidRPr="00151A1E">
        <w:rPr>
          <w:rFonts w:ascii="Calibri" w:hAnsi="Calibri" w:cs="Calibri"/>
          <w:sz w:val="22"/>
          <w:szCs w:val="22"/>
        </w:rPr>
        <w:t>acolher o voto divergente apresentado oralmente pelo representante do CREA, no sentido de reconhecer a prescrição quinquenal entres as fls.13/14 de 20/06/2012 e fls. 47/48 de 08/11/2017. Abstenção da FEPESC. Vencido o relator.</w:t>
      </w:r>
    </w:p>
    <w:p w:rsidR="00A31907" w:rsidRDefault="00A31907" w:rsidP="00A31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151A1E" w:rsidRPr="00151A1E" w:rsidRDefault="00151A1E" w:rsidP="00151A1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EC1C3E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51A1E"/>
    <w:rsid w:val="00173887"/>
    <w:rsid w:val="00196C9D"/>
    <w:rsid w:val="001A5B62"/>
    <w:rsid w:val="001D6390"/>
    <w:rsid w:val="002067CB"/>
    <w:rsid w:val="00263FB4"/>
    <w:rsid w:val="002717D9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50E6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6E28"/>
    <w:rsid w:val="005741D9"/>
    <w:rsid w:val="0058367A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F68C2"/>
    <w:rsid w:val="00902D58"/>
    <w:rsid w:val="00934C2C"/>
    <w:rsid w:val="009406C9"/>
    <w:rsid w:val="00940C45"/>
    <w:rsid w:val="009628EB"/>
    <w:rsid w:val="00966643"/>
    <w:rsid w:val="009A39DA"/>
    <w:rsid w:val="009B50A7"/>
    <w:rsid w:val="009D2B15"/>
    <w:rsid w:val="009E2E7B"/>
    <w:rsid w:val="009E710D"/>
    <w:rsid w:val="00A03A0E"/>
    <w:rsid w:val="00A17B9D"/>
    <w:rsid w:val="00A223B9"/>
    <w:rsid w:val="00A27F09"/>
    <w:rsid w:val="00A304FB"/>
    <w:rsid w:val="00A31907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70EB0"/>
    <w:rsid w:val="00B74A1C"/>
    <w:rsid w:val="00BB6BD1"/>
    <w:rsid w:val="00BD26F4"/>
    <w:rsid w:val="00BE4B60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3E01"/>
    <w:rsid w:val="00F44365"/>
    <w:rsid w:val="00F504D6"/>
    <w:rsid w:val="00F56564"/>
    <w:rsid w:val="00F653D1"/>
    <w:rsid w:val="00F87AFC"/>
    <w:rsid w:val="00F917C1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2020-09-17T14:00:00Z</dcterms:created>
  <dcterms:modified xsi:type="dcterms:W3CDTF">2020-09-21T18:44:00Z</dcterms:modified>
</cp:coreProperties>
</file>